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578D" w14:textId="0F9DBC75" w:rsidR="00252C1D" w:rsidRDefault="009F1184">
      <w:r w:rsidRPr="00252C1D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2346D6" wp14:editId="5F6160B3">
            <wp:simplePos x="0" y="0"/>
            <wp:positionH relativeFrom="column">
              <wp:posOffset>4208780</wp:posOffset>
            </wp:positionH>
            <wp:positionV relativeFrom="paragraph">
              <wp:posOffset>-520065</wp:posOffset>
            </wp:positionV>
            <wp:extent cx="1870710" cy="80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or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998B" w14:textId="79A58FEE" w:rsidR="005E36DF" w:rsidRPr="005E36DF" w:rsidRDefault="005E36DF" w:rsidP="000C348F">
      <w:pPr>
        <w:jc w:val="center"/>
        <w:rPr>
          <w:b/>
          <w:sz w:val="36"/>
          <w:lang w:val="fr-BE"/>
        </w:rPr>
      </w:pPr>
      <w:r w:rsidRPr="005E36DF">
        <w:rPr>
          <w:b/>
          <w:sz w:val="36"/>
          <w:lang w:val="fr-BE"/>
        </w:rPr>
        <w:t>En 2021 aussi, Athora Belgium se distingue par les robustes rendements de ses assurances-épargnes (branche 21)</w:t>
      </w:r>
    </w:p>
    <w:p w14:paraId="766DAED4" w14:textId="3A9391B7" w:rsidR="0093612C" w:rsidRPr="0093612C" w:rsidRDefault="0093612C" w:rsidP="00252C1D">
      <w:pPr>
        <w:jc w:val="both"/>
        <w:rPr>
          <w:b/>
          <w:szCs w:val="18"/>
          <w:lang w:val="fr-BE"/>
        </w:rPr>
      </w:pPr>
      <w:r w:rsidRPr="0093612C">
        <w:rPr>
          <w:b/>
          <w:szCs w:val="18"/>
          <w:lang w:val="fr-BE"/>
        </w:rPr>
        <w:t xml:space="preserve">Bruxelles, </w:t>
      </w:r>
      <w:r w:rsidR="00812D5A">
        <w:rPr>
          <w:b/>
          <w:szCs w:val="18"/>
          <w:lang w:val="fr-BE"/>
        </w:rPr>
        <w:t>9</w:t>
      </w:r>
      <w:r w:rsidRPr="0093612C">
        <w:rPr>
          <w:b/>
          <w:szCs w:val="18"/>
          <w:lang w:val="fr-BE"/>
        </w:rPr>
        <w:t xml:space="preserve"> mars 2022 – Tout comme les années précédentes, Athora Belgium a offert en 2021 un rendement substantiel à ses clients titulaires d’une assurance-épargne (branche 21). Malgré la faiblesse des taux, les assurances-épargnes à taux fixe restent un élément clé du mix d’investissement. Contrairement aux autres acteurs du marché, Athora continue à proposer activement des produits de branche 21 via les courtiers indépendants, et ce en marge de son éventail de produits de branche 23.</w:t>
      </w:r>
    </w:p>
    <w:p w14:paraId="46FECA40" w14:textId="77777777" w:rsidR="00CF4B74" w:rsidRDefault="002F5593" w:rsidP="005346A6">
      <w:pPr>
        <w:jc w:val="both"/>
        <w:rPr>
          <w:szCs w:val="18"/>
          <w:lang w:val="fr-BE"/>
        </w:rPr>
      </w:pPr>
      <w:r w:rsidRPr="002F5593">
        <w:rPr>
          <w:szCs w:val="18"/>
          <w:lang w:val="fr-BE"/>
        </w:rPr>
        <w:t>Les rendements globaux des principaux produits de branche 21 en 2021 sont les suivants :</w:t>
      </w:r>
    </w:p>
    <w:p w14:paraId="533B58F6" w14:textId="708F5D64" w:rsidR="006F6543" w:rsidRPr="002F5593" w:rsidRDefault="00431C33" w:rsidP="005346A6">
      <w:pPr>
        <w:jc w:val="both"/>
        <w:rPr>
          <w:lang w:val="fr-BE"/>
        </w:rPr>
      </w:pPr>
      <w:r>
        <w:rPr>
          <w:noProof/>
        </w:rPr>
        <w:drawing>
          <wp:inline distT="0" distB="0" distL="0" distR="0" wp14:anchorId="7F5499EA" wp14:editId="08D7B2F2">
            <wp:extent cx="5731510" cy="3535680"/>
            <wp:effectExtent l="0" t="0" r="2540" b="762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DB82" w14:textId="77777777" w:rsidR="00CF4B74" w:rsidRDefault="00CF4B74" w:rsidP="00F61B6F">
      <w:pPr>
        <w:spacing w:after="0" w:line="240" w:lineRule="auto"/>
        <w:jc w:val="both"/>
        <w:rPr>
          <w:i/>
          <w:lang w:val="fr-BE"/>
        </w:rPr>
      </w:pPr>
    </w:p>
    <w:p w14:paraId="6142F090" w14:textId="37A1DC15" w:rsidR="00952290" w:rsidRDefault="00952290" w:rsidP="00F61B6F">
      <w:pPr>
        <w:spacing w:after="0" w:line="240" w:lineRule="auto"/>
        <w:jc w:val="both"/>
        <w:rPr>
          <w:i/>
          <w:lang w:val="fr-BE"/>
        </w:rPr>
      </w:pPr>
      <w:r w:rsidRPr="00952290">
        <w:rPr>
          <w:i/>
          <w:lang w:val="fr-BE"/>
        </w:rPr>
        <w:t xml:space="preserve">« La plupart des compagnies ont publié leurs rendements, ce qui permet de comparer </w:t>
      </w:r>
      <w:r w:rsidRPr="00CF4B74">
        <w:rPr>
          <w:iCs/>
          <w:lang w:val="fr-BE"/>
        </w:rPr>
        <w:t>», explique Dorsan van Hecke, CEO d’Athora Belgium.</w:t>
      </w:r>
      <w:r w:rsidRPr="00952290">
        <w:rPr>
          <w:i/>
          <w:lang w:val="fr-BE"/>
        </w:rPr>
        <w:t xml:space="preserve"> « Athora se situe dans le top du marché et, dans le segment ‘primes uniques’, nous sommes même le n°1 avec un rendement net de 1,40%. Cette performance s’explique par notre modèle de gestion active, qui nous permet d’investir nos capitaux de manière à la fois sûre et efficace. »</w:t>
      </w:r>
    </w:p>
    <w:p w14:paraId="7083B7D7" w14:textId="77777777" w:rsidR="00952290" w:rsidRDefault="00952290" w:rsidP="00F61B6F">
      <w:pPr>
        <w:spacing w:after="0" w:line="240" w:lineRule="auto"/>
        <w:jc w:val="both"/>
        <w:rPr>
          <w:i/>
          <w:lang w:val="fr-BE"/>
        </w:rPr>
      </w:pPr>
    </w:p>
    <w:p w14:paraId="3813A51B" w14:textId="77777777" w:rsidR="00455F49" w:rsidRPr="00455F49" w:rsidRDefault="00455F49" w:rsidP="00455F49">
      <w:pPr>
        <w:spacing w:after="0" w:line="240" w:lineRule="auto"/>
        <w:jc w:val="both"/>
        <w:rPr>
          <w:iCs/>
          <w:sz w:val="20"/>
          <w:szCs w:val="20"/>
          <w:lang w:val="fr-BE"/>
        </w:rPr>
      </w:pPr>
      <w:r w:rsidRPr="00455F49">
        <w:rPr>
          <w:iCs/>
          <w:sz w:val="20"/>
          <w:szCs w:val="20"/>
          <w:lang w:val="fr-BE"/>
        </w:rPr>
        <w:t>* Les rendements ci-dessous sont communiqués sous réserve d’approbation par l’Assemblée Générale.</w:t>
      </w:r>
    </w:p>
    <w:p w14:paraId="7745EF31" w14:textId="15FD2A8C" w:rsidR="00F61B6F" w:rsidRDefault="00455F49" w:rsidP="00455F49">
      <w:pPr>
        <w:spacing w:after="0" w:line="240" w:lineRule="auto"/>
        <w:jc w:val="both"/>
        <w:rPr>
          <w:iCs/>
          <w:sz w:val="20"/>
          <w:szCs w:val="20"/>
          <w:lang w:val="fr-BE"/>
        </w:rPr>
      </w:pPr>
      <w:r w:rsidRPr="00455F49">
        <w:rPr>
          <w:iCs/>
          <w:sz w:val="20"/>
          <w:szCs w:val="20"/>
          <w:lang w:val="fr-BE"/>
        </w:rPr>
        <w:t>** Les rendements nets ne tiennent pas compte du régime fiscal propre aux participations bénéficiaires.</w:t>
      </w:r>
    </w:p>
    <w:p w14:paraId="2C56029F" w14:textId="77777777" w:rsidR="00455F49" w:rsidRPr="00455F49" w:rsidRDefault="00455F49" w:rsidP="00455F49">
      <w:pPr>
        <w:spacing w:after="0" w:line="240" w:lineRule="auto"/>
        <w:jc w:val="both"/>
        <w:rPr>
          <w:iCs/>
          <w:lang w:val="fr-BE"/>
        </w:rPr>
      </w:pPr>
    </w:p>
    <w:p w14:paraId="0557AFE5" w14:textId="77777777" w:rsidR="00025D77" w:rsidRPr="005E36DF" w:rsidRDefault="00025D77" w:rsidP="002042BA">
      <w:pPr>
        <w:rPr>
          <w:sz w:val="20"/>
          <w:lang w:val="fr-BE"/>
        </w:rPr>
      </w:pPr>
      <w:r w:rsidRPr="005E36DF">
        <w:rPr>
          <w:sz w:val="20"/>
          <w:lang w:val="fr-BE"/>
        </w:rPr>
        <w:t>###</w:t>
      </w:r>
    </w:p>
    <w:p w14:paraId="5B703920" w14:textId="77777777" w:rsidR="00A55A47" w:rsidRPr="005E36DF" w:rsidRDefault="00A55A47" w:rsidP="00252C1D">
      <w:pPr>
        <w:spacing w:after="0" w:line="240" w:lineRule="auto"/>
        <w:ind w:right="845"/>
        <w:jc w:val="both"/>
        <w:rPr>
          <w:b/>
          <w:sz w:val="20"/>
          <w:szCs w:val="20"/>
          <w:lang w:val="fr-BE"/>
        </w:rPr>
      </w:pPr>
    </w:p>
    <w:p w14:paraId="3F8A071D" w14:textId="77777777" w:rsidR="00A55A47" w:rsidRPr="005E36DF" w:rsidRDefault="00A55A47" w:rsidP="00A55A47">
      <w:pPr>
        <w:spacing w:after="0" w:line="240" w:lineRule="auto"/>
        <w:rPr>
          <w:i/>
          <w:sz w:val="20"/>
          <w:szCs w:val="20"/>
          <w:lang w:val="fr-BE"/>
        </w:rPr>
      </w:pPr>
      <w:proofErr w:type="gramStart"/>
      <w:r w:rsidRPr="005E36DF">
        <w:rPr>
          <w:b/>
          <w:lang w:val="fr-BE"/>
        </w:rPr>
        <w:t>Contact:</w:t>
      </w:r>
      <w:proofErr w:type="gramEnd"/>
      <w:r w:rsidRPr="005E36DF">
        <w:rPr>
          <w:b/>
          <w:lang w:val="fr-BE"/>
        </w:rPr>
        <w:t xml:space="preserve"> </w:t>
      </w:r>
      <w:r w:rsidRPr="005E36DF">
        <w:rPr>
          <w:lang w:val="fr-BE"/>
        </w:rPr>
        <w:t>Bruno Peelman, +32 472 30 40 88, bruno.peelman@athora.com</w:t>
      </w:r>
    </w:p>
    <w:p w14:paraId="7B4C774F" w14:textId="77777777" w:rsidR="00A55A47" w:rsidRPr="005E36DF" w:rsidRDefault="00A55A47" w:rsidP="00252C1D">
      <w:pPr>
        <w:spacing w:after="0" w:line="240" w:lineRule="auto"/>
        <w:ind w:right="845"/>
        <w:jc w:val="both"/>
        <w:rPr>
          <w:b/>
          <w:sz w:val="20"/>
          <w:szCs w:val="20"/>
          <w:lang w:val="fr-BE"/>
        </w:rPr>
      </w:pPr>
    </w:p>
    <w:p w14:paraId="2D3FAF4A" w14:textId="77777777" w:rsidR="00A55A47" w:rsidRPr="005E36DF" w:rsidRDefault="00A55A47" w:rsidP="00F2637A">
      <w:pPr>
        <w:spacing w:after="0" w:line="240" w:lineRule="auto"/>
        <w:ind w:right="845" w:firstLine="720"/>
        <w:jc w:val="both"/>
        <w:rPr>
          <w:b/>
          <w:sz w:val="20"/>
          <w:szCs w:val="20"/>
          <w:lang w:val="fr-BE"/>
        </w:rPr>
      </w:pPr>
    </w:p>
    <w:p w14:paraId="7F3475DB" w14:textId="6CCD34C8" w:rsidR="00A55A47" w:rsidRPr="005E36DF" w:rsidRDefault="00A55A47" w:rsidP="00252C1D">
      <w:pPr>
        <w:spacing w:after="0" w:line="240" w:lineRule="auto"/>
        <w:ind w:right="845"/>
        <w:jc w:val="both"/>
        <w:rPr>
          <w:b/>
          <w:sz w:val="20"/>
          <w:szCs w:val="20"/>
          <w:lang w:val="fr-BE"/>
        </w:rPr>
      </w:pPr>
    </w:p>
    <w:p w14:paraId="176EDC90" w14:textId="77777777" w:rsidR="000D44F8" w:rsidRPr="005E36DF" w:rsidRDefault="000D44F8" w:rsidP="00252C1D">
      <w:pPr>
        <w:spacing w:after="0" w:line="240" w:lineRule="auto"/>
        <w:ind w:right="845"/>
        <w:jc w:val="both"/>
        <w:rPr>
          <w:b/>
          <w:sz w:val="20"/>
          <w:szCs w:val="20"/>
          <w:lang w:val="fr-BE"/>
        </w:rPr>
      </w:pPr>
    </w:p>
    <w:p w14:paraId="46C32706" w14:textId="77777777" w:rsidR="00DD02BF" w:rsidRPr="00DD02BF" w:rsidRDefault="00DD02BF" w:rsidP="000C7826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fr-BE"/>
        </w:rPr>
      </w:pPr>
      <w:r w:rsidRPr="00DD02BF">
        <w:rPr>
          <w:rFonts w:cstheme="minorHAnsi"/>
          <w:b/>
          <w:bCs/>
          <w:sz w:val="20"/>
          <w:szCs w:val="20"/>
          <w:lang w:val="fr-BE"/>
        </w:rPr>
        <w:t xml:space="preserve">À propos d'Athora Belgium SA </w:t>
      </w:r>
    </w:p>
    <w:p w14:paraId="665EBAA3" w14:textId="4F2FCEF7" w:rsidR="0076442D" w:rsidRPr="0076442D" w:rsidRDefault="0076442D" w:rsidP="000C7826">
      <w:pPr>
        <w:spacing w:line="240" w:lineRule="auto"/>
        <w:jc w:val="both"/>
        <w:rPr>
          <w:rFonts w:cstheme="minorHAnsi"/>
          <w:sz w:val="20"/>
          <w:szCs w:val="20"/>
          <w:lang w:val="fr-BE"/>
        </w:rPr>
      </w:pPr>
      <w:r w:rsidRPr="0076442D">
        <w:rPr>
          <w:rFonts w:cstheme="minorHAnsi"/>
          <w:sz w:val="20"/>
          <w:szCs w:val="20"/>
          <w:lang w:val="fr-BE"/>
        </w:rPr>
        <w:t>Athora Belgium SA est actif en Belgique depuis 1901. L'entreprise compte 2</w:t>
      </w:r>
      <w:r>
        <w:rPr>
          <w:rFonts w:cstheme="minorHAnsi"/>
          <w:sz w:val="20"/>
          <w:szCs w:val="20"/>
          <w:lang w:val="fr-BE"/>
        </w:rPr>
        <w:t>0</w:t>
      </w:r>
      <w:r w:rsidRPr="0076442D">
        <w:rPr>
          <w:rFonts w:cstheme="minorHAnsi"/>
          <w:sz w:val="20"/>
          <w:szCs w:val="20"/>
          <w:lang w:val="fr-BE"/>
        </w:rPr>
        <w:t>0 collaborateurs, sert environ 200.000 clients et offre un large éventail d'assurances vie via un réseau de plus de 500 courtiers indépendants dans toute la Belgique. En 202</w:t>
      </w:r>
      <w:r w:rsidR="00C67DFC">
        <w:rPr>
          <w:rFonts w:cstheme="minorHAnsi"/>
          <w:sz w:val="20"/>
          <w:szCs w:val="20"/>
          <w:lang w:val="fr-BE"/>
        </w:rPr>
        <w:t>1</w:t>
      </w:r>
      <w:r w:rsidRPr="0076442D">
        <w:rPr>
          <w:rFonts w:cstheme="minorHAnsi"/>
          <w:sz w:val="20"/>
          <w:szCs w:val="20"/>
          <w:lang w:val="fr-BE"/>
        </w:rPr>
        <w:t xml:space="preserve">, le montant total des primes s’élevait à environ </w:t>
      </w:r>
      <w:r>
        <w:rPr>
          <w:rFonts w:cstheme="minorHAnsi"/>
          <w:sz w:val="20"/>
          <w:szCs w:val="20"/>
          <w:lang w:val="fr-BE"/>
        </w:rPr>
        <w:t>640</w:t>
      </w:r>
      <w:r w:rsidRPr="0076442D">
        <w:rPr>
          <w:rFonts w:cstheme="minorHAnsi"/>
          <w:sz w:val="20"/>
          <w:szCs w:val="20"/>
          <w:lang w:val="fr-BE"/>
        </w:rPr>
        <w:t xml:space="preserve"> millions d'euros. Le portefeuille d'actifs </w:t>
      </w:r>
      <w:proofErr w:type="gramStart"/>
      <w:r w:rsidRPr="0076442D">
        <w:rPr>
          <w:rFonts w:cstheme="minorHAnsi"/>
          <w:sz w:val="20"/>
          <w:szCs w:val="20"/>
          <w:lang w:val="fr-BE"/>
        </w:rPr>
        <w:t>a</w:t>
      </w:r>
      <w:proofErr w:type="gramEnd"/>
      <w:r w:rsidRPr="0076442D">
        <w:rPr>
          <w:rFonts w:cstheme="minorHAnsi"/>
          <w:sz w:val="20"/>
          <w:szCs w:val="20"/>
          <w:lang w:val="fr-BE"/>
        </w:rPr>
        <w:t xml:space="preserve"> une valeur s'élevant à environ </w:t>
      </w:r>
      <w:r>
        <w:rPr>
          <w:rFonts w:cstheme="minorHAnsi"/>
          <w:sz w:val="20"/>
          <w:szCs w:val="20"/>
          <w:lang w:val="fr-BE"/>
        </w:rPr>
        <w:t>8,6</w:t>
      </w:r>
      <w:r w:rsidRPr="0076442D">
        <w:rPr>
          <w:rFonts w:cstheme="minorHAnsi"/>
          <w:sz w:val="20"/>
          <w:szCs w:val="20"/>
          <w:lang w:val="fr-BE"/>
        </w:rPr>
        <w:t xml:space="preserve"> milliards d'euros. En novembre 2019, il a été annoncé que les activités d'assurances de dommages d'Athora Belgium seraient vendues à Baloise Belgium SA. Cette vente a été clôturée le 31 mai 2020. Plus d'infos sur </w:t>
      </w:r>
      <w:hyperlink r:id="rId12" w:history="1">
        <w:r w:rsidR="00BE6A45" w:rsidRPr="00DF0E3E">
          <w:rPr>
            <w:rStyle w:val="Hyperlink"/>
            <w:rFonts w:cstheme="minorHAnsi"/>
            <w:sz w:val="20"/>
            <w:szCs w:val="20"/>
            <w:lang w:val="fr-BE"/>
          </w:rPr>
          <w:t>www.athora.com/be</w:t>
        </w:r>
      </w:hyperlink>
      <w:r w:rsidRPr="0076442D">
        <w:rPr>
          <w:rFonts w:cstheme="minorHAnsi"/>
          <w:sz w:val="20"/>
          <w:szCs w:val="20"/>
          <w:lang w:val="fr-BE"/>
        </w:rPr>
        <w:t>.</w:t>
      </w:r>
    </w:p>
    <w:p w14:paraId="58733E0D" w14:textId="77777777" w:rsidR="0076442D" w:rsidRPr="0076442D" w:rsidRDefault="0076442D" w:rsidP="000C7826">
      <w:pPr>
        <w:spacing w:line="240" w:lineRule="auto"/>
        <w:jc w:val="both"/>
        <w:rPr>
          <w:rFonts w:cstheme="minorHAnsi"/>
          <w:color w:val="0563C1"/>
          <w:sz w:val="20"/>
          <w:szCs w:val="20"/>
          <w:u w:val="single"/>
          <w:lang w:val="fr-BE"/>
        </w:rPr>
      </w:pPr>
    </w:p>
    <w:p w14:paraId="089A63B6" w14:textId="77777777" w:rsidR="00C721F3" w:rsidRPr="000A3600" w:rsidRDefault="00C721F3" w:rsidP="00C721F3">
      <w:pPr>
        <w:jc w:val="both"/>
        <w:rPr>
          <w:rFonts w:cstheme="minorHAnsi"/>
          <w:b/>
          <w:bCs/>
          <w:sz w:val="20"/>
          <w:szCs w:val="20"/>
          <w:lang w:val="fr-BE"/>
        </w:rPr>
      </w:pPr>
      <w:r w:rsidRPr="000A3600">
        <w:rPr>
          <w:rFonts w:cstheme="minorHAnsi"/>
          <w:b/>
          <w:bCs/>
          <w:sz w:val="20"/>
          <w:szCs w:val="20"/>
          <w:lang w:val="fr-BE"/>
        </w:rPr>
        <w:t xml:space="preserve">À propos d'Athora Holding Ltd. </w:t>
      </w:r>
    </w:p>
    <w:p w14:paraId="75B098DD" w14:textId="705F5309" w:rsidR="00C721F3" w:rsidRPr="00C721F3" w:rsidRDefault="00C721F3" w:rsidP="00C721F3">
      <w:pPr>
        <w:spacing w:line="240" w:lineRule="auto"/>
        <w:jc w:val="both"/>
        <w:rPr>
          <w:rFonts w:cstheme="minorHAnsi"/>
          <w:sz w:val="20"/>
          <w:szCs w:val="20"/>
          <w:lang w:val="fr-BE"/>
        </w:rPr>
      </w:pPr>
      <w:r w:rsidRPr="00C721F3">
        <w:rPr>
          <w:rFonts w:cstheme="minorHAnsi"/>
          <w:sz w:val="20"/>
          <w:szCs w:val="20"/>
          <w:lang w:val="fr-BE"/>
        </w:rPr>
        <w:t xml:space="preserve">Athora est un groupe d’assurance et de réassurance entièrement axé sur le marché européen. Athora fournit des solutions innovantes de réassurance et de M&amp;A à d’autres compagnies désireuses de consolider leur capital ou d’induire des changements stratégiques. Les principales entités d’Athora sont Athora </w:t>
      </w:r>
      <w:proofErr w:type="spellStart"/>
      <w:r w:rsidRPr="00C721F3">
        <w:rPr>
          <w:rFonts w:cstheme="minorHAnsi"/>
          <w:sz w:val="20"/>
          <w:szCs w:val="20"/>
          <w:lang w:val="fr-BE"/>
        </w:rPr>
        <w:t>Netherlands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NV (</w:t>
      </w:r>
      <w:proofErr w:type="spellStart"/>
      <w:r w:rsidRPr="00C721F3">
        <w:rPr>
          <w:rFonts w:cstheme="minorHAnsi"/>
          <w:sz w:val="20"/>
          <w:szCs w:val="20"/>
          <w:lang w:val="fr-BE"/>
        </w:rPr>
        <w:t>Amstelveen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), Athora Belgium NV/SA (Bruxelles), Athora </w:t>
      </w:r>
      <w:proofErr w:type="spellStart"/>
      <w:r w:rsidRPr="00C721F3">
        <w:rPr>
          <w:rFonts w:cstheme="minorHAnsi"/>
          <w:sz w:val="20"/>
          <w:szCs w:val="20"/>
          <w:lang w:val="fr-BE"/>
        </w:rPr>
        <w:t>Lebensversicherung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AG (Wiesbaden), Athora Ireland </w:t>
      </w:r>
      <w:proofErr w:type="spellStart"/>
      <w:r w:rsidRPr="00C721F3">
        <w:rPr>
          <w:rFonts w:cstheme="minorHAnsi"/>
          <w:sz w:val="20"/>
          <w:szCs w:val="20"/>
          <w:lang w:val="fr-BE"/>
        </w:rPr>
        <w:t>plc</w:t>
      </w:r>
      <w:proofErr w:type="spellEnd"/>
      <w:r w:rsidRPr="00C721F3">
        <w:rPr>
          <w:rFonts w:cstheme="minorHAnsi"/>
          <w:sz w:val="20"/>
          <w:szCs w:val="20"/>
          <w:lang w:val="fr-BE"/>
        </w:rPr>
        <w:t xml:space="preserve"> (Dublin) et Athora Life Re Ltd. (Bermudes). Le groupe Athora emploie 2.</w:t>
      </w:r>
      <w:r w:rsidR="00FA29DC">
        <w:rPr>
          <w:rFonts w:cstheme="minorHAnsi"/>
          <w:sz w:val="20"/>
          <w:szCs w:val="20"/>
          <w:lang w:val="fr-BE"/>
        </w:rPr>
        <w:t>4</w:t>
      </w:r>
      <w:r w:rsidRPr="00C721F3">
        <w:rPr>
          <w:rFonts w:cstheme="minorHAnsi"/>
          <w:sz w:val="20"/>
          <w:szCs w:val="20"/>
          <w:lang w:val="fr-BE"/>
        </w:rPr>
        <w:t xml:space="preserve">00 personnes, sert 3 millions de clients et détient </w:t>
      </w:r>
      <w:r w:rsidR="00FA29DC">
        <w:rPr>
          <w:rFonts w:cstheme="minorHAnsi"/>
          <w:sz w:val="20"/>
          <w:szCs w:val="20"/>
          <w:lang w:val="fr-BE"/>
        </w:rPr>
        <w:t>84</w:t>
      </w:r>
      <w:r w:rsidRPr="00C721F3">
        <w:rPr>
          <w:rFonts w:cstheme="minorHAnsi"/>
          <w:sz w:val="20"/>
          <w:szCs w:val="20"/>
          <w:lang w:val="fr-BE"/>
        </w:rPr>
        <w:t xml:space="preserve"> milliards d'euros d’actifs sous gestion. De plus amples informations sont disponibles sur </w:t>
      </w:r>
      <w:hyperlink r:id="rId13" w:history="1">
        <w:r w:rsidR="000A3600" w:rsidRPr="00DF0E3E">
          <w:rPr>
            <w:rStyle w:val="Hyperlink"/>
            <w:rFonts w:cstheme="minorHAnsi"/>
            <w:sz w:val="20"/>
            <w:szCs w:val="20"/>
            <w:lang w:val="fr-BE"/>
          </w:rPr>
          <w:t>www.athora.com</w:t>
        </w:r>
      </w:hyperlink>
      <w:r w:rsidRPr="00C721F3">
        <w:rPr>
          <w:rFonts w:cstheme="minorHAnsi"/>
          <w:sz w:val="20"/>
          <w:szCs w:val="20"/>
          <w:lang w:val="fr-BE"/>
        </w:rPr>
        <w:t>.</w:t>
      </w:r>
    </w:p>
    <w:p w14:paraId="592FDB1C" w14:textId="5366D069" w:rsidR="00252C1D" w:rsidRPr="00C721F3" w:rsidRDefault="00252C1D" w:rsidP="006F6543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3068C650" w14:textId="77777777" w:rsidR="00147486" w:rsidRPr="00C721F3" w:rsidRDefault="00147486" w:rsidP="00B31F01">
      <w:pPr>
        <w:spacing w:after="0" w:line="240" w:lineRule="auto"/>
        <w:rPr>
          <w:b/>
          <w:lang w:val="fr-BE"/>
        </w:rPr>
      </w:pPr>
    </w:p>
    <w:sectPr w:rsidR="00147486" w:rsidRPr="00C721F3" w:rsidSect="00674B4F">
      <w:footerReference w:type="default" r:id="rId1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6207" w14:textId="77777777" w:rsidR="00F16481" w:rsidRDefault="00F16481" w:rsidP="00CE74E4">
      <w:pPr>
        <w:spacing w:after="0" w:line="240" w:lineRule="auto"/>
      </w:pPr>
      <w:r>
        <w:separator/>
      </w:r>
    </w:p>
  </w:endnote>
  <w:endnote w:type="continuationSeparator" w:id="0">
    <w:p w14:paraId="34A7A3D3" w14:textId="77777777" w:rsidR="00F16481" w:rsidRDefault="00F16481" w:rsidP="00CE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E266" w14:textId="6D4428B5" w:rsidR="00B31F01" w:rsidRPr="00F2637A" w:rsidRDefault="00F2637A">
    <w:pPr>
      <w:pStyle w:val="Footer"/>
      <w:rPr>
        <w:lang w:val="fr-BE"/>
      </w:rPr>
    </w:pPr>
    <w:r w:rsidRPr="00F2637A">
      <w:rPr>
        <w:rFonts w:ascii="Calibri" w:hAnsi="Calibri"/>
        <w:bCs/>
        <w:sz w:val="20"/>
        <w:szCs w:val="20"/>
        <w:lang w:val="fr-BE"/>
      </w:rPr>
      <w:t>Athora Belgium S.A., Rue du Champ de Mars 23, 1050 Bruxelles - N° BCE - TVA (BE) 0403.262.553 - RPM Bruxelles - Entreprise d’assurances agréée sous le code n° 0145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886B" w14:textId="77777777" w:rsidR="00F16481" w:rsidRDefault="00F16481" w:rsidP="00CE74E4">
      <w:pPr>
        <w:spacing w:after="0" w:line="240" w:lineRule="auto"/>
      </w:pPr>
      <w:r>
        <w:separator/>
      </w:r>
    </w:p>
  </w:footnote>
  <w:footnote w:type="continuationSeparator" w:id="0">
    <w:p w14:paraId="4890BA9F" w14:textId="77777777" w:rsidR="00F16481" w:rsidRDefault="00F16481" w:rsidP="00CE7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9"/>
    <w:rsid w:val="00006DF5"/>
    <w:rsid w:val="0001196B"/>
    <w:rsid w:val="00011EF4"/>
    <w:rsid w:val="00014FBE"/>
    <w:rsid w:val="00022E56"/>
    <w:rsid w:val="00025D77"/>
    <w:rsid w:val="00040427"/>
    <w:rsid w:val="0004568F"/>
    <w:rsid w:val="000457C6"/>
    <w:rsid w:val="00053350"/>
    <w:rsid w:val="0006350D"/>
    <w:rsid w:val="0006440B"/>
    <w:rsid w:val="0006481C"/>
    <w:rsid w:val="000675FB"/>
    <w:rsid w:val="00067CAE"/>
    <w:rsid w:val="00074FF2"/>
    <w:rsid w:val="000843A3"/>
    <w:rsid w:val="00090082"/>
    <w:rsid w:val="000A3600"/>
    <w:rsid w:val="000A7B48"/>
    <w:rsid w:val="000B3678"/>
    <w:rsid w:val="000C348F"/>
    <w:rsid w:val="000C5246"/>
    <w:rsid w:val="000C7826"/>
    <w:rsid w:val="000D02A0"/>
    <w:rsid w:val="000D44F8"/>
    <w:rsid w:val="000E4F80"/>
    <w:rsid w:val="000F21B5"/>
    <w:rsid w:val="000F45B9"/>
    <w:rsid w:val="000F4B98"/>
    <w:rsid w:val="00107792"/>
    <w:rsid w:val="00110BF4"/>
    <w:rsid w:val="00126BF8"/>
    <w:rsid w:val="0013227E"/>
    <w:rsid w:val="0013355D"/>
    <w:rsid w:val="0014710D"/>
    <w:rsid w:val="00147486"/>
    <w:rsid w:val="00181D0C"/>
    <w:rsid w:val="0018603B"/>
    <w:rsid w:val="00190123"/>
    <w:rsid w:val="001A28DA"/>
    <w:rsid w:val="001B5A29"/>
    <w:rsid w:val="001B79A7"/>
    <w:rsid w:val="001D61F8"/>
    <w:rsid w:val="001E26CA"/>
    <w:rsid w:val="001F3F79"/>
    <w:rsid w:val="002042BA"/>
    <w:rsid w:val="002170A2"/>
    <w:rsid w:val="0022583F"/>
    <w:rsid w:val="0022656F"/>
    <w:rsid w:val="00246B28"/>
    <w:rsid w:val="00247603"/>
    <w:rsid w:val="00252C1D"/>
    <w:rsid w:val="00253DF0"/>
    <w:rsid w:val="002742B1"/>
    <w:rsid w:val="0027617F"/>
    <w:rsid w:val="0029383D"/>
    <w:rsid w:val="002B1A0F"/>
    <w:rsid w:val="002C0A0B"/>
    <w:rsid w:val="002C390A"/>
    <w:rsid w:val="002D4B57"/>
    <w:rsid w:val="002D5653"/>
    <w:rsid w:val="002E1051"/>
    <w:rsid w:val="002F0131"/>
    <w:rsid w:val="002F0388"/>
    <w:rsid w:val="002F5593"/>
    <w:rsid w:val="002F6307"/>
    <w:rsid w:val="003112DA"/>
    <w:rsid w:val="00342273"/>
    <w:rsid w:val="00342DCB"/>
    <w:rsid w:val="00354F7F"/>
    <w:rsid w:val="00393691"/>
    <w:rsid w:val="00396842"/>
    <w:rsid w:val="00396A4C"/>
    <w:rsid w:val="003A2826"/>
    <w:rsid w:val="003B02D9"/>
    <w:rsid w:val="003B7771"/>
    <w:rsid w:val="003D3113"/>
    <w:rsid w:val="003D3974"/>
    <w:rsid w:val="003F2CC4"/>
    <w:rsid w:val="004057DA"/>
    <w:rsid w:val="00407FF7"/>
    <w:rsid w:val="00410A36"/>
    <w:rsid w:val="00415813"/>
    <w:rsid w:val="00417821"/>
    <w:rsid w:val="00421555"/>
    <w:rsid w:val="00425C72"/>
    <w:rsid w:val="00431C33"/>
    <w:rsid w:val="00455F49"/>
    <w:rsid w:val="00462297"/>
    <w:rsid w:val="00463E50"/>
    <w:rsid w:val="0046485B"/>
    <w:rsid w:val="00472EFE"/>
    <w:rsid w:val="00475561"/>
    <w:rsid w:val="004818BF"/>
    <w:rsid w:val="00482BB8"/>
    <w:rsid w:val="004879AA"/>
    <w:rsid w:val="0049561E"/>
    <w:rsid w:val="004B067F"/>
    <w:rsid w:val="004B0EBA"/>
    <w:rsid w:val="004D6FD4"/>
    <w:rsid w:val="004D7C0D"/>
    <w:rsid w:val="004E7F1B"/>
    <w:rsid w:val="004F2181"/>
    <w:rsid w:val="00501E5F"/>
    <w:rsid w:val="00507F4A"/>
    <w:rsid w:val="005154DF"/>
    <w:rsid w:val="00522F5E"/>
    <w:rsid w:val="005250DF"/>
    <w:rsid w:val="00527CFD"/>
    <w:rsid w:val="005346A6"/>
    <w:rsid w:val="00535F6D"/>
    <w:rsid w:val="00542E69"/>
    <w:rsid w:val="005440D5"/>
    <w:rsid w:val="005478A1"/>
    <w:rsid w:val="00550AE0"/>
    <w:rsid w:val="00551B90"/>
    <w:rsid w:val="00556279"/>
    <w:rsid w:val="00565D6E"/>
    <w:rsid w:val="00573292"/>
    <w:rsid w:val="00581754"/>
    <w:rsid w:val="00595661"/>
    <w:rsid w:val="00595A57"/>
    <w:rsid w:val="00596645"/>
    <w:rsid w:val="005A089C"/>
    <w:rsid w:val="005A36B6"/>
    <w:rsid w:val="005B09FA"/>
    <w:rsid w:val="005B44E4"/>
    <w:rsid w:val="005C4C63"/>
    <w:rsid w:val="005C7B61"/>
    <w:rsid w:val="005D5B41"/>
    <w:rsid w:val="005E36A1"/>
    <w:rsid w:val="005E36DF"/>
    <w:rsid w:val="005E4347"/>
    <w:rsid w:val="005E67A5"/>
    <w:rsid w:val="006117AE"/>
    <w:rsid w:val="00613FFD"/>
    <w:rsid w:val="00623821"/>
    <w:rsid w:val="006258CF"/>
    <w:rsid w:val="00627C60"/>
    <w:rsid w:val="00631128"/>
    <w:rsid w:val="00631CB9"/>
    <w:rsid w:val="00632BC8"/>
    <w:rsid w:val="00632C49"/>
    <w:rsid w:val="0064570B"/>
    <w:rsid w:val="0064587E"/>
    <w:rsid w:val="0065339F"/>
    <w:rsid w:val="00654F37"/>
    <w:rsid w:val="00662269"/>
    <w:rsid w:val="00671EB9"/>
    <w:rsid w:val="00674B4F"/>
    <w:rsid w:val="00684315"/>
    <w:rsid w:val="00692FE5"/>
    <w:rsid w:val="006A4792"/>
    <w:rsid w:val="006B1A64"/>
    <w:rsid w:val="006B5323"/>
    <w:rsid w:val="006B79B3"/>
    <w:rsid w:val="006C30B0"/>
    <w:rsid w:val="006D4718"/>
    <w:rsid w:val="006E00A8"/>
    <w:rsid w:val="006E32AD"/>
    <w:rsid w:val="006E3C88"/>
    <w:rsid w:val="006F4164"/>
    <w:rsid w:val="006F5CA3"/>
    <w:rsid w:val="006F6543"/>
    <w:rsid w:val="0072368E"/>
    <w:rsid w:val="00727409"/>
    <w:rsid w:val="00736850"/>
    <w:rsid w:val="007453EA"/>
    <w:rsid w:val="00752F4B"/>
    <w:rsid w:val="00755C61"/>
    <w:rsid w:val="00757EEA"/>
    <w:rsid w:val="0076442D"/>
    <w:rsid w:val="007809FD"/>
    <w:rsid w:val="007A1A95"/>
    <w:rsid w:val="007D2FD0"/>
    <w:rsid w:val="007F2D92"/>
    <w:rsid w:val="00800288"/>
    <w:rsid w:val="0080333D"/>
    <w:rsid w:val="00806C70"/>
    <w:rsid w:val="00806DC5"/>
    <w:rsid w:val="0081151C"/>
    <w:rsid w:val="00812D5A"/>
    <w:rsid w:val="00815FC4"/>
    <w:rsid w:val="00817DFC"/>
    <w:rsid w:val="00820E59"/>
    <w:rsid w:val="00822AD5"/>
    <w:rsid w:val="00832C76"/>
    <w:rsid w:val="008459D3"/>
    <w:rsid w:val="008464C5"/>
    <w:rsid w:val="0085448F"/>
    <w:rsid w:val="0086333D"/>
    <w:rsid w:val="00876F02"/>
    <w:rsid w:val="008803A0"/>
    <w:rsid w:val="00887209"/>
    <w:rsid w:val="00890C94"/>
    <w:rsid w:val="008A0F91"/>
    <w:rsid w:val="008A244A"/>
    <w:rsid w:val="008A487C"/>
    <w:rsid w:val="008A794E"/>
    <w:rsid w:val="008B523D"/>
    <w:rsid w:val="008C21C5"/>
    <w:rsid w:val="008C6CB0"/>
    <w:rsid w:val="008D035C"/>
    <w:rsid w:val="008D2911"/>
    <w:rsid w:val="008E3599"/>
    <w:rsid w:val="008E4FBC"/>
    <w:rsid w:val="008E6491"/>
    <w:rsid w:val="00902015"/>
    <w:rsid w:val="00905C3F"/>
    <w:rsid w:val="00910F85"/>
    <w:rsid w:val="00915328"/>
    <w:rsid w:val="0093612C"/>
    <w:rsid w:val="00952290"/>
    <w:rsid w:val="00970F30"/>
    <w:rsid w:val="00971BD5"/>
    <w:rsid w:val="00973E70"/>
    <w:rsid w:val="009756A6"/>
    <w:rsid w:val="00986F4C"/>
    <w:rsid w:val="0099172E"/>
    <w:rsid w:val="0099266E"/>
    <w:rsid w:val="009A3069"/>
    <w:rsid w:val="009B76F5"/>
    <w:rsid w:val="009C197E"/>
    <w:rsid w:val="009C2660"/>
    <w:rsid w:val="009C66B9"/>
    <w:rsid w:val="009D375F"/>
    <w:rsid w:val="009E38D6"/>
    <w:rsid w:val="009E5CD0"/>
    <w:rsid w:val="009F0573"/>
    <w:rsid w:val="009F1184"/>
    <w:rsid w:val="009F3C65"/>
    <w:rsid w:val="009F456A"/>
    <w:rsid w:val="00A125BA"/>
    <w:rsid w:val="00A3094B"/>
    <w:rsid w:val="00A352BD"/>
    <w:rsid w:val="00A37224"/>
    <w:rsid w:val="00A41319"/>
    <w:rsid w:val="00A55A47"/>
    <w:rsid w:val="00A571C5"/>
    <w:rsid w:val="00A64A34"/>
    <w:rsid w:val="00A66851"/>
    <w:rsid w:val="00A725E5"/>
    <w:rsid w:val="00A72F58"/>
    <w:rsid w:val="00A765AD"/>
    <w:rsid w:val="00A80CC5"/>
    <w:rsid w:val="00AA7C5F"/>
    <w:rsid w:val="00AB2F2F"/>
    <w:rsid w:val="00AB51E0"/>
    <w:rsid w:val="00AB697F"/>
    <w:rsid w:val="00AC1FB6"/>
    <w:rsid w:val="00AC3F7F"/>
    <w:rsid w:val="00AC5A86"/>
    <w:rsid w:val="00AF0892"/>
    <w:rsid w:val="00AF4A0E"/>
    <w:rsid w:val="00B01592"/>
    <w:rsid w:val="00B02BDC"/>
    <w:rsid w:val="00B102D3"/>
    <w:rsid w:val="00B11E87"/>
    <w:rsid w:val="00B161CB"/>
    <w:rsid w:val="00B219F4"/>
    <w:rsid w:val="00B21DB6"/>
    <w:rsid w:val="00B27870"/>
    <w:rsid w:val="00B31F01"/>
    <w:rsid w:val="00B36626"/>
    <w:rsid w:val="00B37524"/>
    <w:rsid w:val="00B40D42"/>
    <w:rsid w:val="00B422B3"/>
    <w:rsid w:val="00B64175"/>
    <w:rsid w:val="00B645A4"/>
    <w:rsid w:val="00B70788"/>
    <w:rsid w:val="00B74AC5"/>
    <w:rsid w:val="00B82B80"/>
    <w:rsid w:val="00B8390C"/>
    <w:rsid w:val="00B843B4"/>
    <w:rsid w:val="00B95B8A"/>
    <w:rsid w:val="00B9655D"/>
    <w:rsid w:val="00BA0458"/>
    <w:rsid w:val="00BA084F"/>
    <w:rsid w:val="00BA4058"/>
    <w:rsid w:val="00BC1733"/>
    <w:rsid w:val="00BD2E67"/>
    <w:rsid w:val="00BE1797"/>
    <w:rsid w:val="00BE6A45"/>
    <w:rsid w:val="00BF0954"/>
    <w:rsid w:val="00BF0DC6"/>
    <w:rsid w:val="00C05AB9"/>
    <w:rsid w:val="00C0677F"/>
    <w:rsid w:val="00C13D35"/>
    <w:rsid w:val="00C14817"/>
    <w:rsid w:val="00C14AB2"/>
    <w:rsid w:val="00C20247"/>
    <w:rsid w:val="00C21138"/>
    <w:rsid w:val="00C27926"/>
    <w:rsid w:val="00C36F23"/>
    <w:rsid w:val="00C52025"/>
    <w:rsid w:val="00C6095D"/>
    <w:rsid w:val="00C662BC"/>
    <w:rsid w:val="00C66684"/>
    <w:rsid w:val="00C67DFC"/>
    <w:rsid w:val="00C721F3"/>
    <w:rsid w:val="00C85E2D"/>
    <w:rsid w:val="00C96B4B"/>
    <w:rsid w:val="00C96D86"/>
    <w:rsid w:val="00CA119B"/>
    <w:rsid w:val="00CA6AA6"/>
    <w:rsid w:val="00CB13C4"/>
    <w:rsid w:val="00CB36FB"/>
    <w:rsid w:val="00CB4EB4"/>
    <w:rsid w:val="00CC631D"/>
    <w:rsid w:val="00CD42BD"/>
    <w:rsid w:val="00CE74E4"/>
    <w:rsid w:val="00CF0B88"/>
    <w:rsid w:val="00CF4B74"/>
    <w:rsid w:val="00CF5634"/>
    <w:rsid w:val="00D00B21"/>
    <w:rsid w:val="00D0694C"/>
    <w:rsid w:val="00D123D1"/>
    <w:rsid w:val="00D13E57"/>
    <w:rsid w:val="00D42597"/>
    <w:rsid w:val="00D425FE"/>
    <w:rsid w:val="00D42AAE"/>
    <w:rsid w:val="00D43B82"/>
    <w:rsid w:val="00D64F15"/>
    <w:rsid w:val="00D704A6"/>
    <w:rsid w:val="00D8085F"/>
    <w:rsid w:val="00D94FEB"/>
    <w:rsid w:val="00DB161B"/>
    <w:rsid w:val="00DC1BB8"/>
    <w:rsid w:val="00DD02BF"/>
    <w:rsid w:val="00DD7AA3"/>
    <w:rsid w:val="00DE50AE"/>
    <w:rsid w:val="00DF7359"/>
    <w:rsid w:val="00E14998"/>
    <w:rsid w:val="00E355BC"/>
    <w:rsid w:val="00E4339F"/>
    <w:rsid w:val="00E703DA"/>
    <w:rsid w:val="00E70A6E"/>
    <w:rsid w:val="00E71AA4"/>
    <w:rsid w:val="00EB1C1B"/>
    <w:rsid w:val="00EB2081"/>
    <w:rsid w:val="00EC08CE"/>
    <w:rsid w:val="00ED1683"/>
    <w:rsid w:val="00ED53CC"/>
    <w:rsid w:val="00EE110E"/>
    <w:rsid w:val="00EE6A9D"/>
    <w:rsid w:val="00EF6DA8"/>
    <w:rsid w:val="00F046C2"/>
    <w:rsid w:val="00F10E7B"/>
    <w:rsid w:val="00F11F64"/>
    <w:rsid w:val="00F14E36"/>
    <w:rsid w:val="00F16481"/>
    <w:rsid w:val="00F2637A"/>
    <w:rsid w:val="00F31C94"/>
    <w:rsid w:val="00F31F4E"/>
    <w:rsid w:val="00F430CA"/>
    <w:rsid w:val="00F515EC"/>
    <w:rsid w:val="00F56BF8"/>
    <w:rsid w:val="00F61B6F"/>
    <w:rsid w:val="00F70430"/>
    <w:rsid w:val="00F82495"/>
    <w:rsid w:val="00F9072A"/>
    <w:rsid w:val="00F929A7"/>
    <w:rsid w:val="00FA29DC"/>
    <w:rsid w:val="00FA5B45"/>
    <w:rsid w:val="00FB0CEA"/>
    <w:rsid w:val="00FC5ADE"/>
    <w:rsid w:val="00FD17AA"/>
    <w:rsid w:val="00FE3650"/>
    <w:rsid w:val="00FE7F77"/>
    <w:rsid w:val="00FF396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C0070"/>
  <w15:chartTrackingRefBased/>
  <w15:docId w15:val="{3E798773-9B9A-4851-AC7C-BD7D5195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E4"/>
  </w:style>
  <w:style w:type="paragraph" w:styleId="Footer">
    <w:name w:val="footer"/>
    <w:basedOn w:val="Normal"/>
    <w:link w:val="FooterChar"/>
    <w:uiPriority w:val="99"/>
    <w:unhideWhenUsed/>
    <w:rsid w:val="00CE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E4"/>
  </w:style>
  <w:style w:type="character" w:styleId="Hyperlink">
    <w:name w:val="Hyperlink"/>
    <w:basedOn w:val="DefaultParagraphFont"/>
    <w:uiPriority w:val="99"/>
    <w:unhideWhenUsed/>
    <w:rsid w:val="00CE74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E5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B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3A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4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FFD"/>
    <w:rPr>
      <w:color w:val="954F72" w:themeColor="followedHyperlink"/>
      <w:u w:val="single"/>
    </w:rPr>
  </w:style>
  <w:style w:type="paragraph" w:customStyle="1" w:styleId="CharChar">
    <w:name w:val="Char Char Знак Знак"/>
    <w:basedOn w:val="Normal"/>
    <w:rsid w:val="00AB51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 Знак Знак"/>
    <w:basedOn w:val="Normal"/>
    <w:rsid w:val="006622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LightShading-Accent2">
    <w:name w:val="Light Shading Accent 2"/>
    <w:basedOn w:val="TableNormal"/>
    <w:uiPriority w:val="60"/>
    <w:rsid w:val="00252C1D"/>
    <w:pPr>
      <w:spacing w:after="0" w:line="240" w:lineRule="auto"/>
    </w:pPr>
    <w:rPr>
      <w:rFonts w:ascii="Arial Regular" w:eastAsia="Arial Regular" w:hAnsi="Arial Regular" w:cs="Times New Roman"/>
      <w:color w:val="C45911" w:themeColor="accent2" w:themeShade="BF"/>
      <w:lang w:val="en-US" w:eastAsia="zh-CN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Emphasis">
    <w:name w:val="Emphasis"/>
    <w:basedOn w:val="DefaultParagraphFont"/>
    <w:uiPriority w:val="20"/>
    <w:qFormat/>
    <w:rsid w:val="006F6543"/>
    <w:rPr>
      <w:i/>
      <w:iCs/>
    </w:rPr>
  </w:style>
  <w:style w:type="paragraph" w:styleId="ListParagraph">
    <w:name w:val="List Paragraph"/>
    <w:basedOn w:val="Normal"/>
    <w:uiPriority w:val="34"/>
    <w:qFormat/>
    <w:rsid w:val="00A372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6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6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8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hor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thora.com/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8EA973B823645832C9C9DA7967BAE" ma:contentTypeVersion="12" ma:contentTypeDescription="Create a new document." ma:contentTypeScope="" ma:versionID="d1eaf8dc7aae54a59ac1a5002cc2e367">
  <xsd:schema xmlns:xsd="http://www.w3.org/2001/XMLSchema" xmlns:xs="http://www.w3.org/2001/XMLSchema" xmlns:p="http://schemas.microsoft.com/office/2006/metadata/properties" xmlns:ns3="6c553fa9-89dd-4c4c-883e-eaf53838bc59" xmlns:ns4="fac3fd15-ffec-4cec-9d91-471fe92101ff" targetNamespace="http://schemas.microsoft.com/office/2006/metadata/properties" ma:root="true" ma:fieldsID="247895bfd11d3f726037e7a8e79fc39d" ns3:_="" ns4:_="">
    <xsd:import namespace="6c553fa9-89dd-4c4c-883e-eaf53838bc59"/>
    <xsd:import namespace="fac3fd15-ffec-4cec-9d91-471fe9210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3fa9-89dd-4c4c-883e-eaf53838b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3fd15-ffec-4cec-9d91-471fe9210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EB66-C7C4-4907-8B89-00DC8B751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AE925-C77C-41CE-B370-C5059F2E1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3413B-741A-4F3C-9DF4-41E3124F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3fa9-89dd-4c4c-883e-eaf53838bc59"/>
    <ds:schemaRef ds:uri="fac3fd15-ffec-4cec-9d91-471fe921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1B8EF-85B2-4C8C-B081-5CB2299C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Aegon Ireland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Carolan</dc:creator>
  <cp:keywords/>
  <dc:description/>
  <cp:lastModifiedBy>Bruno Peelman</cp:lastModifiedBy>
  <cp:revision>20</cp:revision>
  <cp:lastPrinted>2020-02-19T08:24:00Z</cp:lastPrinted>
  <dcterms:created xsi:type="dcterms:W3CDTF">2022-03-07T16:23:00Z</dcterms:created>
  <dcterms:modified xsi:type="dcterms:W3CDTF">2022-03-09T10:08:00Z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0x0101001F18EA973B823645832C9C9DA7967BAE</vt:lpwstr>
  </property>
  <property fmtid="{D5CDD505-2E9C-101B-9397-08002B2CF9AE}" pid="3" name="_AdHocReviewCycleID">
    <vt:i4>940827272</vt:i4>
  </property>
  <property fmtid="{D5CDD505-2E9C-101B-9397-08002B2CF9AE}" pid="4" name="_NewReviewCycle">
    <vt:lpwstr/>
  </property>
  <property fmtid="{D5CDD505-2E9C-101B-9397-08002B2CF9AE}" pid="5" name="_EmailSubject">
    <vt:lpwstr>Winstdeelname 2019: een uitstekend jaar voor Vivium, voor u en uw klanten</vt:lpwstr>
  </property>
  <property fmtid="{D5CDD505-2E9C-101B-9397-08002B2CF9AE}" pid="6" name="_AuthorEmail">
    <vt:lpwstr>Ann.VanHaute@athora.com</vt:lpwstr>
  </property>
  <property fmtid="{D5CDD505-2E9C-101B-9397-08002B2CF9AE}" pid="7" name="_AuthorEmailDisplayName">
    <vt:lpwstr>Ann Van Haute</vt:lpwstr>
  </property>
  <property fmtid="{D5CDD505-2E9C-101B-9397-08002B2CF9AE}" pid="8" name="_PreviousAdHocReviewCycleID">
    <vt:i4>-829025715</vt:i4>
  </property>
  <property fmtid="{D5CDD505-2E9C-101B-9397-08002B2CF9AE}" pid="9" name="_ReviewingToolsShownOnce">
    <vt:lpwstr/>
  </property>
  <property fmtid="{D5CDD505-2E9C-101B-9397-08002B2CF9AE}" pid="10" name="MSIP_Label_4dcd183e-8b32-4ed9-92e3-eed8a676e6e6_Enabled">
    <vt:lpwstr>true</vt:lpwstr>
  </property>
  <property fmtid="{D5CDD505-2E9C-101B-9397-08002B2CF9AE}" pid="11" name="MSIP_Label_4dcd183e-8b32-4ed9-92e3-eed8a676e6e6_SetDate">
    <vt:lpwstr>2022-02-24T13:50:16Z</vt:lpwstr>
  </property>
  <property fmtid="{D5CDD505-2E9C-101B-9397-08002B2CF9AE}" pid="12" name="MSIP_Label_4dcd183e-8b32-4ed9-92e3-eed8a676e6e6_Method">
    <vt:lpwstr>Standard</vt:lpwstr>
  </property>
  <property fmtid="{D5CDD505-2E9C-101B-9397-08002B2CF9AE}" pid="13" name="MSIP_Label_4dcd183e-8b32-4ed9-92e3-eed8a676e6e6_Name">
    <vt:lpwstr>Internal Use Only</vt:lpwstr>
  </property>
  <property fmtid="{D5CDD505-2E9C-101B-9397-08002B2CF9AE}" pid="14" name="MSIP_Label_4dcd183e-8b32-4ed9-92e3-eed8a676e6e6_SiteId">
    <vt:lpwstr>04ed3d40-bfc5-47a7-b83d-0e51a0dff75d</vt:lpwstr>
  </property>
  <property fmtid="{D5CDD505-2E9C-101B-9397-08002B2CF9AE}" pid="15" name="MSIP_Label_4dcd183e-8b32-4ed9-92e3-eed8a676e6e6_ActionId">
    <vt:lpwstr>e5ecdae7-0a7e-4062-a101-6bfbf9a1f7ec</vt:lpwstr>
  </property>
  <property fmtid="{D5CDD505-2E9C-101B-9397-08002B2CF9AE}" pid="16" name="MSIP_Label_4dcd183e-8b32-4ed9-92e3-eed8a676e6e6_ContentBits">
    <vt:lpwstr>0</vt:lpwstr>
  </property>
</Properties>
</file>